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C4" w:rsidRPr="007536C4" w:rsidRDefault="007536C4" w:rsidP="007536C4">
      <w:pPr>
        <w:spacing w:before="100" w:beforeAutospacing="1" w:after="100" w:afterAutospacing="1" w:line="36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МИНИСТЕРСКИЯ СЪВЕТ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РЕПУБЛИКА БЪЛГАРИЯ</w:t>
      </w:r>
    </w:p>
    <w:p w:rsidR="007536C4" w:rsidRPr="007536C4" w:rsidRDefault="007536C4" w:rsidP="007536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6C4" w:rsidRPr="007536C4" w:rsidRDefault="007536C4" w:rsidP="007536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Д О К Л А Д</w:t>
      </w:r>
    </w:p>
    <w:p w:rsidR="007536C4" w:rsidRPr="007536C4" w:rsidRDefault="007536C4" w:rsidP="007536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7536C4" w:rsidRPr="007536C4" w:rsidRDefault="007536C4" w:rsidP="007536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ЛИЛЯНА ПАВЛОВА</w:t>
      </w:r>
    </w:p>
    <w:p w:rsidR="007536C4" w:rsidRPr="007536C4" w:rsidRDefault="007536C4" w:rsidP="007536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МИНИСТЪР НА РЕГИОНАЛНОТО РАЗВИТИЕ И БЛАГОУСТРОЙСТВОТО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6945"/>
      </w:tblGrid>
      <w:tr w:rsidR="007536C4" w:rsidRPr="007536C4" w:rsidTr="007536C4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C4" w:rsidRPr="007536C4" w:rsidRDefault="007536C4" w:rsidP="007536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Относно:</w:t>
            </w:r>
          </w:p>
        </w:tc>
        <w:tc>
          <w:tcPr>
            <w:tcW w:w="6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6C4" w:rsidRPr="007536C4" w:rsidRDefault="007536C4" w:rsidP="007536C4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Проект на Постановление </w:t>
            </w:r>
            <w:r w:rsidRPr="0075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 xml:space="preserve">за изменение и допълнение на Постановление </w:t>
            </w:r>
            <w:r w:rsidRPr="0075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№ 18 на Министерския съвет от 2015 г. </w:t>
            </w:r>
            <w:r w:rsidRPr="007536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за приемане на Национална програма за енергийна ефективност на многофамилните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й (Обн., ДВ, бр. 10 от 6 февруари 2015 г., попр. ДВ, бр. 18 от 10 март 2015 г.)</w:t>
            </w:r>
          </w:p>
        </w:tc>
      </w:tr>
    </w:tbl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2124" w:hanging="1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 МИНИСТЪР-ПРЕДСЕДАТЕЛ,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 МИНИСТРИ,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На основание чл. 31, ал.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изменение и допълнение на Постановление № 18 на Министерския съвет от 2015 г. за приемане на Национална програма за енергийна ефективност на многофамилните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й (Обн., ДВ, бр. 10 от 6 февруари 2015 г., попр. ДВ, бр. 18 от 10 март 2015 г.).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Проектът на постановление предвижда изменения и допълнения в Методическите указания, </w:t>
      </w:r>
      <w:r w:rsidRPr="007536C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Приложение № 2 към чл. 1, ал. 2 от ПМС 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t>№ 18/02.02.2015 г.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След стартиране на Националната програма за енергийна ефективност на многофамилните жилищни сгради при прилагането на определени изисквания от програмата общините се сблъскаха с няколко различни казуси, които бяха представени на Министерство на регионалното развитие и благоустройството чрез отделни запитвания:</w:t>
      </w:r>
    </w:p>
    <w:p w:rsidR="007536C4" w:rsidRPr="007536C4" w:rsidRDefault="007536C4" w:rsidP="00753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Невъзможността да се осигури 100 % съгласие от всички самостоятелни обекти за участие в програмата, поради отказ на няколко собственика да се включат в нея и по този начин мнозинството в една сграда страда заради един или двама собственика.</w:t>
      </w:r>
    </w:p>
    <w:p w:rsidR="007536C4" w:rsidRPr="007536C4" w:rsidRDefault="007536C4" w:rsidP="00753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Сериозен проблем се оказва и постигането на съгласие на всички самостоятелни обекти в една сграда поради различни причини. В много случаи има собственици, постоянно пребиваващи в чужбина, собственици живеещи на друго място с неизвестен адрес, починали собственици, на които трудно могат да се намерят наследниците и др.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 съответно не може да се осигури съгласие на 100%.</w:t>
      </w:r>
    </w:p>
    <w:p w:rsidR="007536C4" w:rsidRPr="007536C4" w:rsidRDefault="007536C4" w:rsidP="007536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Големите сгради – тези, които са свързано застрояване с няколко блок-секции/сгради трудно успяват да се включат в програмата. Практиката показа, че има много блок-секции/сгради, които са свързано строителство и образуват общ архитектурен ансамбъл под формата на „Г“, „П“ и др.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 при тях доста трудно може да се осигури участието на всички свързани блок-секции/сгради.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В допълнение, в някои по-малки градове масовият тип строителство на многофамилни жилищни сгради е с брой на самостоятелни обекти вариращ от 32 до 36 самостоятелни обекта.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lastRenderedPageBreak/>
        <w:t>Във връзка с облекчаване на условията за участие в Националната програма Националното сдружение на общините на Република България отправи към МРРБ предложения за изменения на изискванията на Методическите указания в три насоки: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10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36C4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 отношение на свързано застроени блок-секции/сгради;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10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36C4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липсата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 на 100% съгласие от всички самостоятелни обекти;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10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536C4">
        <w:rPr>
          <w:rFonts w:ascii="Times New Roman" w:eastAsia="Times New Roman" w:hAnsi="Times New Roman" w:cs="Times New Roman"/>
          <w:sz w:val="14"/>
          <w:szCs w:val="14"/>
        </w:rPr>
        <w:t xml:space="preserve">         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намаляване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 на допустимия брой на самостоятелни обекти.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Тези предложения бяха разгледани и анализирани детайлно и са предложени необходимите изменения и допълнения в Методическите указания с цел постигане на максимална ефективност и ефикасност на програмата, както и на по-голяма гъвкавост при участието в програмата:</w:t>
      </w:r>
    </w:p>
    <w:p w:rsidR="007536C4" w:rsidRPr="007536C4" w:rsidRDefault="007536C4" w:rsidP="007536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При наличие на свързано строителство, а именно няколко блок-секции или сгради (блокове), които са свързани помежду си, т.е. не са отдалечени една от друга и образуват общ архитектурен ансамбъл, следва групата от блок-секции/сгради да кандидатства заедно по Националната програма.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По изключение, при невъзможност за участие на цялата група и по преценка на общината, от съответната група може да бъде допуснато да кандидатстват минимум половината от свързаните блок-секции/сгради, които следва да покриват изискването за минимум 36 самостоятелни обекта и да са последователно разположени. Това изключение важи за група от минимум от две блок-секции или за група от повече от две свързано застроени сгради.</w:t>
      </w:r>
    </w:p>
    <w:p w:rsidR="007536C4" w:rsidRPr="007536C4" w:rsidRDefault="007536C4" w:rsidP="007536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По изключение и по преценка на общината през 2015 г. могат да бъдат одобрявани за обновяване и сгради с минимум 32 самостоятелни обекта с жилищно предназначение, които са построени преди 1975 г. и са с доказани конструктивни проблеми.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Относно намаляване на броя на самостоятелни обекти след експерименталния етап в началото на 60-те, в периода 1965 – 1975 г. започва масова индустриализация на 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строителния отрасъл. Едропанелното строителство е било прието за приоритет на жилищната политика от онова време. Съгласно данни на НСИ към 2011 г. състоянието на жилищните сгради по години на построяване е следното: 22.0% са построени до 1949 г., 38.3% - през периода 1950 - 1969 г., 28.1% - през периода 1970 - 1989 г., и 11.6% - след 1990 година. Основната част от жилищните сгради в градовете са построени до 80-те години, а след 1990 г. - 16.4% от целия жилищен сграден фонд.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Изчислението на самостоятелните обекти е направено на база 4 етажа по 4 апартамента по два входа, което общо прави 32 апартамента и съответно един вход 8 етажа по 4 апартамента, отново 32 апартамента.</w:t>
      </w:r>
    </w:p>
    <w:p w:rsidR="007536C4" w:rsidRPr="007536C4" w:rsidRDefault="007536C4" w:rsidP="007536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По изключение и по своя мотивирана преценка общината може да допусне одобрение на сграда ако не са представени документи/декларации за осигуряване на достъп до всички самостоятелни обекти. Изключението може да се прилага за не повече от 5% от самостоятелните обекти. При това изключение общината следва да намери подходящо техническо решение, да се извършат дейностите по обновяването, включително и в съответните самостоятелни обекти при необходимост, с оглед постигане на цялостна визия на сградата и клас на енергопотребление „С“ в съответствие с Наредба № 7 от 2004 г. за енергийна ефективност на сгради.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С оглед спазване ЗУЕС при това изключение задължително решенията на сдружението за осигуряване на достъп до самостоятелните обекти и за съгласие за изпълнение на предложените в резултат на техническото и енергийното обследване допустими дейности следва да се внасят за приемане от общото събрание на собствениците при изискванията за кворум и мнозинство. Управителният съвет (управителят) на сдружението свиква общо събрание на собствениците по реда на раздел ІІ от ЗУЕС като следва да се попълни протокол от общото събрание по образец (приложение № 17). В този случай членовете на сдружението участват в общото събрание на собствениците или определят представител, който гласува с дял, равен на идеалните части, с които е взето решението в сдружението.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Към момента е отчетен сериозен напредък по изпълнението на програмата. Има подадени общо над 600 искания за сключване на договори и са сключени 400 договори за целево финансиране между общината, областния управител и Българската банка за развитие. След направен преглед и детайлен анализ на одобрените към момента сгради, като бяха отчетени и параметрите на публикуваните обществени поръчки от общини е необходимо да се актуализира заложеният лимит за техническо обследване и обследване за енергийна ефективност от 200 млн.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 100 млн. </w:t>
      </w:r>
      <w:proofErr w:type="gramStart"/>
      <w:r w:rsidRPr="007536C4">
        <w:rPr>
          <w:rFonts w:ascii="Times New Roman" w:eastAsia="Times New Roman" w:hAnsi="Times New Roman" w:cs="Times New Roman"/>
          <w:sz w:val="24"/>
          <w:szCs w:val="24"/>
        </w:rPr>
        <w:t>лв</w:t>
      </w:r>
      <w:proofErr w:type="gramEnd"/>
      <w:r w:rsidRPr="0075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Във връзка с последните промени в Наредба № 7 от 2004 г. за енергийна ефективност на сгради са направени предложения за изменения и допълнителни разяснения в Методическите указания. С промените в наредбата се въвеждат новите изисквания за енергийни характеристики на сградите от Директива 2010/31/ЕС за енергийните характеристики на сградите и Делегиран Регламент (ЕС) № 244/2012 на Комисията от 16 януари 2012 година за допълване на Директива 2010/31/ЕС на Европейския парламент и на Съвета относно енергийните характеристики на сградите чрез създаване на сравнителна методологична рамка за изчисляване на равнищата на оптимални разходи във връзка с минималните изисквания за енергийните характеристики на сградите и сградните компоненти. Тези изисквания са отразени и в частта от Методическите указания от техническите изисквания за изпълнение на дейностите за енергийна ефективност.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С цел по-доброто разбиране на някои текстове са направени допълнителни разяснения, както и са отстранени несъответствия в документите, приложения към Методическите указания - </w:t>
      </w:r>
      <w:r w:rsidRPr="007536C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приложение № 4 – образец „Споразумение 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за създаване на Сдружение на собствениците“, </w:t>
      </w:r>
      <w:r w:rsidRPr="007536C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приложение № 5 – образец към Методическите указания „Заявление за интерес и финансова помощ (ЗИФП), приложение № 9 – образец към Методическите указания П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t>ротокол за проведено общо събрание (ОС) на сдружението на собствениците (СС), п</w:t>
      </w:r>
      <w:r w:rsidRPr="007536C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риложение № 10 – образец към Методическите указания „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Договор“, </w:t>
      </w:r>
      <w:r w:rsidRPr="007536C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приложение № 12 – образец към Методическите указания „Декларация“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В допълнение, с оглед въведеното изключение в Методическите указания по отношение осигуряване на 100% съгласие за достъп до всички самостоятелни обекти са разработени три нови приложения – образци </w:t>
      </w:r>
      <w:r w:rsidRPr="007536C4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към Методическите указания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: Приложение № 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lastRenderedPageBreak/>
        <w:t>15 - образец Покана за ОС на собствениците; Приложение № 16 - образец Протокол от залепване на поканата за свикване на ОС на собствениците; Приложение № 17 - образец Протокол за проведено ОС на собствениците (етажната собственост).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Предлаганият проект на Постановление на Министерския съвет не оказва пряко и/или косвено въздействие върху държавния бюджет за 2015 г., поради което е приложена финансова обосновка по Приложение № 2.2 към чл. 35, ал. 1, т. 4, б. „б” от Устройствения правилник на Министерския съвет и на неговата администрация.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Проектът на акт е публикуван на интернет-страницата на Министерството на регионалното развитие и благоустройството, съгласно изискванията на разпоредбите на чл. 26 от Закона за нормативните актове и чл. 85 от Устройствения правилник на Министерския съвет и на неговата администрация.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right="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Преписката е оформена съгласно изискванията на чл. 35 от Устройствения правилник на Министерския съвет и на неговата администрация.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right="1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Проектът на постановление на Министерския съвет е съгласуван в съответствие с разпоредбите на чл. 32 от Устройствения правилник на Министерския съвет и на неговата администрация. Получените становища, заедно със справка за приетите и неприетите бележки за това, са приложени към настоящия доклад.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right="-5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Предложеният проект на акт не е свързан с транспониране на актове на Европейския съюз, поради което не се налага да бъде изготвена справка за съответствие с европейското право.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ГОСПОДИН МИНИСТЪР-ПРЕДСЕДАТЕЛ,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ГОСПОЖИ И ГОСПОДА МИНИСТРИ,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 xml:space="preserve">Предвид изложеното и на основание чл. 8, ал. 2 от Устройствения правилник на Министерския съвет и на неговата администрация, предлагам Министерският съвет да приеме проекта на Постановление за изменение и допълнение на Постановление № 18 на Министерския съвет от 2015 г. за приемане на Национална програма за енергийна </w:t>
      </w:r>
      <w:r w:rsidRPr="007536C4">
        <w:rPr>
          <w:rFonts w:ascii="Times New Roman" w:eastAsia="Times New Roman" w:hAnsi="Times New Roman" w:cs="Times New Roman"/>
          <w:sz w:val="24"/>
          <w:szCs w:val="24"/>
        </w:rPr>
        <w:lastRenderedPageBreak/>
        <w:t>ефективност на многофамилните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й (Обн., ДВ, бр. 10 от 6 февруари 2015 г., попр. ДВ, бр. 18 от 10 март 2015 г.)</w:t>
      </w:r>
    </w:p>
    <w:p w:rsidR="007536C4" w:rsidRPr="007536C4" w:rsidRDefault="007536C4" w:rsidP="007536C4">
      <w:pPr>
        <w:shd w:val="clear" w:color="auto" w:fill="FFFFFF"/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Приложения:</w:t>
      </w:r>
    </w:p>
    <w:p w:rsidR="007536C4" w:rsidRPr="007536C4" w:rsidRDefault="007536C4" w:rsidP="00753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Проект на постановление на Министерския съвет;</w:t>
      </w:r>
    </w:p>
    <w:p w:rsidR="007536C4" w:rsidRPr="007536C4" w:rsidRDefault="007536C4" w:rsidP="00753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Финансова обосновка;</w:t>
      </w:r>
    </w:p>
    <w:p w:rsidR="007536C4" w:rsidRPr="007536C4" w:rsidRDefault="007536C4" w:rsidP="00753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Проект на съобщение за средствата за масово осведомяване;</w:t>
      </w:r>
    </w:p>
    <w:p w:rsidR="007536C4" w:rsidRPr="007536C4" w:rsidRDefault="007536C4" w:rsidP="007536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sz w:val="24"/>
          <w:szCs w:val="24"/>
        </w:rPr>
        <w:t>Справка за отразяване на постъпилите становища.</w:t>
      </w:r>
    </w:p>
    <w:p w:rsidR="007536C4" w:rsidRPr="007536C4" w:rsidRDefault="007536C4" w:rsidP="007536C4">
      <w:pPr>
        <w:spacing w:after="0" w:line="36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МИНИСТЪР: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                                                                                </w:t>
      </w:r>
    </w:p>
    <w:p w:rsidR="007536C4" w:rsidRPr="007536C4" w:rsidRDefault="007536C4" w:rsidP="007536C4">
      <w:pPr>
        <w:spacing w:before="100" w:beforeAutospacing="1" w:after="100" w:afterAutospacing="1" w:line="36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536C4">
        <w:rPr>
          <w:rFonts w:ascii="Times New Roman" w:eastAsia="Times New Roman" w:hAnsi="Times New Roman" w:cs="Times New Roman"/>
          <w:b/>
          <w:bCs/>
          <w:sz w:val="24"/>
          <w:szCs w:val="24"/>
        </w:rPr>
        <w:t>ЛИЛЯНА ПАВЛОВА</w:t>
      </w:r>
    </w:p>
    <w:p w:rsidR="00442EBC" w:rsidRDefault="007536C4">
      <w:bookmarkStart w:id="0" w:name="_GoBack"/>
      <w:bookmarkEnd w:id="0"/>
    </w:p>
    <w:sectPr w:rsidR="0044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5A6"/>
    <w:multiLevelType w:val="multilevel"/>
    <w:tmpl w:val="ECB0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00B6C"/>
    <w:multiLevelType w:val="multilevel"/>
    <w:tmpl w:val="CEEC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16EBB"/>
    <w:multiLevelType w:val="multilevel"/>
    <w:tmpl w:val="99A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16341"/>
    <w:multiLevelType w:val="multilevel"/>
    <w:tmpl w:val="F5E8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E6566"/>
    <w:multiLevelType w:val="multilevel"/>
    <w:tmpl w:val="A4E0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97"/>
    <w:rsid w:val="000C4E38"/>
    <w:rsid w:val="0032540E"/>
    <w:rsid w:val="007536C4"/>
    <w:rsid w:val="00852A44"/>
    <w:rsid w:val="0090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372AE-1015-4E38-BBA0-7A2AF62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ed-artist</dc:creator>
  <cp:keywords/>
  <dc:description/>
  <cp:lastModifiedBy>ed-artist</cp:lastModifiedBy>
  <cp:revision>2</cp:revision>
  <dcterms:created xsi:type="dcterms:W3CDTF">2017-12-29T14:23:00Z</dcterms:created>
  <dcterms:modified xsi:type="dcterms:W3CDTF">2017-12-29T14:24:00Z</dcterms:modified>
</cp:coreProperties>
</file>